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643" w:rsidRDefault="00B36643" w:rsidP="00825DD6"/>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825DD6" w:rsidRDefault="00825DD6" w:rsidP="00B36643">
      <w:pPr>
        <w:spacing w:line="480" w:lineRule="auto"/>
        <w:jc w:val="center"/>
      </w:pPr>
    </w:p>
    <w:p w:rsidR="00825DD6" w:rsidRDefault="00825DD6" w:rsidP="00B36643">
      <w:pPr>
        <w:spacing w:line="480" w:lineRule="auto"/>
        <w:jc w:val="center"/>
      </w:pPr>
    </w:p>
    <w:p w:rsidR="00825DD6" w:rsidRDefault="00825DD6" w:rsidP="00B36643">
      <w:pPr>
        <w:spacing w:line="480" w:lineRule="auto"/>
        <w:jc w:val="center"/>
      </w:pPr>
    </w:p>
    <w:p w:rsidR="00B36643" w:rsidRDefault="00B36643" w:rsidP="00B36643">
      <w:pPr>
        <w:spacing w:line="480" w:lineRule="auto"/>
        <w:jc w:val="center"/>
      </w:pPr>
    </w:p>
    <w:p w:rsidR="00B36643" w:rsidRDefault="00FF7368" w:rsidP="00B36643">
      <w:pPr>
        <w:spacing w:line="480" w:lineRule="auto"/>
        <w:jc w:val="center"/>
      </w:pPr>
      <w:r>
        <w:t>Williamson Oil Company INC. V. Philip Morris, USA</w:t>
      </w:r>
      <w:r w:rsidR="00B36643">
        <w:t>.</w:t>
      </w:r>
    </w:p>
    <w:p w:rsidR="00B36643" w:rsidRDefault="00B36643" w:rsidP="00B36643">
      <w:pPr>
        <w:spacing w:line="480" w:lineRule="auto"/>
        <w:jc w:val="center"/>
      </w:pPr>
      <w:r>
        <w:t>Name.</w:t>
      </w:r>
    </w:p>
    <w:p w:rsidR="00B36643" w:rsidRDefault="00B36643" w:rsidP="00B36643">
      <w:pPr>
        <w:spacing w:line="480" w:lineRule="auto"/>
        <w:jc w:val="center"/>
      </w:pPr>
      <w:r>
        <w:t>Institution.</w:t>
      </w:r>
    </w:p>
    <w:p w:rsidR="00B36643" w:rsidRDefault="00B36643" w:rsidP="00B36643">
      <w:pPr>
        <w:spacing w:line="480" w:lineRule="auto"/>
        <w:jc w:val="center"/>
      </w:pPr>
      <w:r>
        <w:t>Date.</w:t>
      </w:r>
    </w:p>
    <w:p w:rsidR="00B36643" w:rsidRDefault="00B36643" w:rsidP="00B36643">
      <w:pPr>
        <w:spacing w:line="480" w:lineRule="auto"/>
        <w:jc w:val="center"/>
      </w:pPr>
      <w:r w:rsidRPr="00B36643">
        <w:t xml:space="preserve"> </w:t>
      </w: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C71466" w:rsidRDefault="00B36643" w:rsidP="00B36643">
      <w:pPr>
        <w:spacing w:line="480" w:lineRule="auto"/>
        <w:jc w:val="center"/>
      </w:pPr>
      <w:r>
        <w:lastRenderedPageBreak/>
        <w:t>Williamson Oil Company INC. V. Philip Morris, USA</w:t>
      </w:r>
    </w:p>
    <w:p w:rsidR="00825DD6" w:rsidRDefault="00825DD6" w:rsidP="00825DD6">
      <w:pPr>
        <w:spacing w:line="480" w:lineRule="auto"/>
      </w:pPr>
      <w:r w:rsidRPr="00825DD6">
        <w:rPr>
          <w:b/>
        </w:rPr>
        <w:t xml:space="preserve">Case Name: </w:t>
      </w:r>
      <w:r>
        <w:t>Williamson Oil Company INC. V. Philip Morris, USA</w:t>
      </w:r>
    </w:p>
    <w:p w:rsidR="00825DD6" w:rsidRDefault="00825DD6" w:rsidP="00825DD6">
      <w:pPr>
        <w:spacing w:line="480" w:lineRule="auto"/>
      </w:pPr>
      <w:r w:rsidRPr="00825DD6">
        <w:rPr>
          <w:b/>
        </w:rPr>
        <w:t xml:space="preserve">Parties: </w:t>
      </w:r>
      <w:r>
        <w:t>Williamson Oil Company INC., on behalf of itself and others similarly positioned, Holiday Wholesale Grocery Co. et al., plaintiffs-appellants, v. Philip Morris, R.J Reynolds Tobacco Co., et al., Defendants-Apelles.</w:t>
      </w:r>
    </w:p>
    <w:p w:rsidR="00825DD6" w:rsidRPr="00825DD6" w:rsidRDefault="00825DD6" w:rsidP="00825DD6">
      <w:pPr>
        <w:spacing w:line="480" w:lineRule="auto"/>
        <w:jc w:val="center"/>
        <w:rPr>
          <w:b/>
        </w:rPr>
      </w:pPr>
      <w:r w:rsidRPr="00825DD6">
        <w:rPr>
          <w:b/>
        </w:rPr>
        <w:t>Facts</w:t>
      </w:r>
    </w:p>
    <w:p w:rsidR="00825DD6" w:rsidRDefault="00825DD6" w:rsidP="00825DD6">
      <w:pPr>
        <w:spacing w:line="480" w:lineRule="auto"/>
        <w:ind w:firstLine="720"/>
      </w:pPr>
      <w:r>
        <w:t xml:space="preserve">In 1993, Philip Morris (PM), the defendant, decided to lower the price of its best selling cigarettes drastically.  During this period, the cigarette manufacturing industry was oligopolistic, where just five firms accounted for 97% of the entire market. Following the reduction of price by PM, the other firms responded by lowering their prices (Williamson Oil Company INC. V. Philip Morris, USA, 2003). The net effect of the price competition resulted in a drastic decline in profit margins in for the manufacturing firms. PM raised the price of the cigarettes as a response to the severely reduced prices, and the other manufacturers followed suit. The period between 1993 and 2000 saw cigarettes' price escalation for several times with the competing firms settling approximately on the same price with every increase of price (Williamson Oil Company INC. V. Philip Morris, USA, 2003). Following the series of price escalations, the plaintiffs filed a complaint against the defendants on an allegation that the parallel price escalation was a price-fixing scheme. The district court granted the defendants' motion for summary judgment, which was appealed by the plaintiffs. According to the plaintiffs, the price-fixing agreement among the cigarettes' manufacturers, defendants, led to wholesale list overcharges of approximately $12 billion. </w:t>
      </w:r>
    </w:p>
    <w:p w:rsidR="00825DD6" w:rsidRDefault="00825DD6" w:rsidP="00825DD6">
      <w:pPr>
        <w:spacing w:line="480" w:lineRule="auto"/>
        <w:ind w:firstLine="720"/>
      </w:pPr>
    </w:p>
    <w:p w:rsidR="00825DD6" w:rsidRPr="00825DD6" w:rsidRDefault="00825DD6" w:rsidP="00825DD6">
      <w:pPr>
        <w:spacing w:line="480" w:lineRule="auto"/>
        <w:ind w:firstLine="720"/>
        <w:jc w:val="center"/>
        <w:rPr>
          <w:b/>
        </w:rPr>
      </w:pPr>
      <w:r w:rsidRPr="00825DD6">
        <w:rPr>
          <w:b/>
        </w:rPr>
        <w:lastRenderedPageBreak/>
        <w:t>Procedure</w:t>
      </w:r>
    </w:p>
    <w:p w:rsidR="00825DD6" w:rsidRDefault="00825DD6" w:rsidP="00825DD6">
      <w:pPr>
        <w:spacing w:line="480" w:lineRule="auto"/>
        <w:ind w:firstLine="720"/>
      </w:pPr>
      <w:r>
        <w:t xml:space="preserve">The district court granted summary judgment in favor of the defendants since the plaintiffs failed to provide ‘plus factor' that is necessary to prove the price-fixing agreement among the manufacturers. The plaintiffs appealed again on the basis that the district court misapplied the summary judgment standard. According to the plaintiffs-appellants, they had supplied the court with adequate evidence to resist the defendants-Apelles' motions (Williamson Oil Company INC. V. Philip Morris, USA, 2003). Also, the plaintiffs believed that the court made discretion error by eliminating a portion of the evidence that was provided by their crucial expert witness. </w:t>
      </w:r>
    </w:p>
    <w:p w:rsidR="00825DD6" w:rsidRPr="00825DD6" w:rsidRDefault="00825DD6" w:rsidP="00825DD6">
      <w:pPr>
        <w:spacing w:line="480" w:lineRule="auto"/>
        <w:ind w:firstLine="720"/>
        <w:jc w:val="center"/>
        <w:rPr>
          <w:b/>
        </w:rPr>
      </w:pPr>
      <w:r w:rsidRPr="00825DD6">
        <w:rPr>
          <w:b/>
        </w:rPr>
        <w:t>Issue</w:t>
      </w:r>
    </w:p>
    <w:p w:rsidR="00825DD6" w:rsidRDefault="00825DD6" w:rsidP="00825DD6">
      <w:pPr>
        <w:spacing w:line="480" w:lineRule="auto"/>
        <w:ind w:firstLine="720"/>
      </w:pPr>
      <w:r>
        <w:t xml:space="preserve">The central issue arising in the case is whether the parallel price escalation by defendants was a concerted action or an individual action. Williamson Oil Company INC. V. Philip Morris, USA was an anti-trust case based on sections 4 and 16 of the Clayton Act, 15 U.S.C. §§15 and 26 and section 1 of the Sherman Act, 15 U.S.C § 1, by a class of cigarette wholesalers (plaintiffs) against a group of manufacturers (defendants) (Williamson Oil Company INC. V. Philip Morris, USA, 2003). Section 1 of the Sherman Act proscribes concerted actions or activities that unfairly restrains trade. However, the Sherman Act does not cover autonomous actions conducted by individual firms. For this reason, when the plaintiffs found their section 1 allegations on circumstantial evidence, the proof must be adequate to support the claim that the defendants acted in concert or autonomously. </w:t>
      </w:r>
    </w:p>
    <w:p w:rsidR="00825DD6" w:rsidRDefault="00825DD6" w:rsidP="00825DD6">
      <w:pPr>
        <w:spacing w:line="480" w:lineRule="auto"/>
        <w:ind w:firstLine="720"/>
      </w:pPr>
    </w:p>
    <w:p w:rsidR="00825DD6" w:rsidRDefault="00825DD6" w:rsidP="00825DD6">
      <w:pPr>
        <w:spacing w:line="480" w:lineRule="auto"/>
        <w:ind w:firstLine="720"/>
      </w:pPr>
    </w:p>
    <w:p w:rsidR="00825DD6" w:rsidRDefault="00825DD6" w:rsidP="00825DD6">
      <w:pPr>
        <w:spacing w:line="480" w:lineRule="auto"/>
        <w:ind w:firstLine="720"/>
      </w:pPr>
    </w:p>
    <w:p w:rsidR="00825DD6" w:rsidRPr="00825DD6" w:rsidRDefault="00825DD6" w:rsidP="00825DD6">
      <w:pPr>
        <w:spacing w:line="480" w:lineRule="auto"/>
        <w:ind w:firstLine="720"/>
        <w:jc w:val="center"/>
        <w:rPr>
          <w:b/>
        </w:rPr>
      </w:pPr>
      <w:r w:rsidRPr="00825DD6">
        <w:rPr>
          <w:b/>
        </w:rPr>
        <w:t>Holding</w:t>
      </w:r>
    </w:p>
    <w:p w:rsidR="00825DD6" w:rsidRDefault="00825DD6" w:rsidP="00825DD6">
      <w:pPr>
        <w:spacing w:line="480" w:lineRule="auto"/>
        <w:ind w:firstLine="720"/>
      </w:pPr>
      <w:r>
        <w:t xml:space="preserve">The court holding was that the defendants' actions were not concerted; instead, the court held that the manufacturer pricing behavior was conscious parallelism, a popular phenomenon in oligopolistic ventures. </w:t>
      </w:r>
    </w:p>
    <w:p w:rsidR="00825DD6" w:rsidRPr="00825DD6" w:rsidRDefault="00825DD6" w:rsidP="00825DD6">
      <w:pPr>
        <w:spacing w:line="480" w:lineRule="auto"/>
        <w:ind w:firstLine="720"/>
        <w:jc w:val="center"/>
        <w:rPr>
          <w:b/>
        </w:rPr>
      </w:pPr>
      <w:r w:rsidRPr="00825DD6">
        <w:rPr>
          <w:b/>
        </w:rPr>
        <w:t>Rationale</w:t>
      </w:r>
    </w:p>
    <w:p w:rsidR="00825DD6" w:rsidRDefault="00825DD6" w:rsidP="00825DD6">
      <w:pPr>
        <w:spacing w:line="480" w:lineRule="auto"/>
        <w:ind w:firstLine="720"/>
      </w:pPr>
      <w:r>
        <w:t>Citing Section 1 of the Sherman Act, for firms to be accused of acting in concert, there must be ample proof to support the inference. Of all the proofs that the plaintiffs provided, the court found none of the evidence provided to be plus factor that would have disqualified the pricing behavior of the manufactures as independent action and render it as a price-fixing agreement. The court ruled out the following three opinions as plus factors. First, the court argued that mere participation in an oligopolistic industry is not adequate proof to infer price conspiracy (Wilmer, 2003). Second, mere chance for firms to conspire, for instance, through participation in trade fairs, does not warrant an inference of price agreements. Finally, the court argued that public announcements via trade press articles or interviews in relation to price or related business strategies do not hold up an inference of defendants' conspiracy. The court opinions rendered plaintiffs' evidence to lack the plus factors. As a result, the court holding was that the defendants' pricing behavior was independent and not a price-fixing conspiracy.</w:t>
      </w:r>
    </w:p>
    <w:p w:rsidR="00825DD6" w:rsidRPr="00825DD6" w:rsidRDefault="00825DD6" w:rsidP="00825DD6">
      <w:pPr>
        <w:spacing w:line="480" w:lineRule="auto"/>
        <w:ind w:firstLine="720"/>
        <w:jc w:val="center"/>
        <w:rPr>
          <w:b/>
        </w:rPr>
      </w:pPr>
      <w:r w:rsidRPr="00825DD6">
        <w:rPr>
          <w:b/>
        </w:rPr>
        <w:t>Conclusion</w:t>
      </w:r>
    </w:p>
    <w:p w:rsidR="00B36643" w:rsidRDefault="00825DD6" w:rsidP="00825DD6">
      <w:pPr>
        <w:spacing w:line="480" w:lineRule="auto"/>
        <w:ind w:firstLine="720"/>
      </w:pPr>
      <w:r>
        <w:t xml:space="preserve">In my conviction, the court holding was reasonable, and I agree entirely with it. As a rule of thumb, for any type of business to improve, they must apply strategic approaches to help them surge upwards. This is the exact move that was applied by Philip Morris by reducing the prices at </w:t>
      </w:r>
      <w:r>
        <w:lastRenderedPageBreak/>
        <w:t>first to help it attract big chunks of market share from the oligopolistic venture market. Additionally, the competing rival firms gave to respond to the forces in the market, and for the threat created by PA; the other oligopolistic ventures lowered the prices to avert the threat of losing their market share to another firm. As the competition between the firms became more intense, decreasing price margins forced the firms to increase the prices to a level that found fair to their end as well as the consumers end. Thus, in my opinion, the pricing behavior by the manufacturing firms was purely a marketing strategy by independent firms and not concerted action. Therefore, I support the court ruling in favor of the defendants.</w:t>
      </w: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B36643" w:rsidRDefault="00B36643" w:rsidP="00B36643">
      <w:pPr>
        <w:spacing w:line="480" w:lineRule="auto"/>
        <w:jc w:val="center"/>
      </w:pPr>
    </w:p>
    <w:p w:rsidR="00825DD6" w:rsidRDefault="00825DD6" w:rsidP="00B36643">
      <w:pPr>
        <w:spacing w:line="480" w:lineRule="auto"/>
        <w:jc w:val="center"/>
      </w:pPr>
    </w:p>
    <w:p w:rsidR="00825DD6" w:rsidRDefault="00825DD6" w:rsidP="00B36643">
      <w:pPr>
        <w:spacing w:line="480" w:lineRule="auto"/>
        <w:jc w:val="center"/>
      </w:pPr>
    </w:p>
    <w:p w:rsidR="002F3526" w:rsidRDefault="002F3526" w:rsidP="00B36643">
      <w:pPr>
        <w:spacing w:line="480" w:lineRule="auto"/>
        <w:jc w:val="center"/>
      </w:pPr>
      <w:r>
        <w:t>Reference</w:t>
      </w:r>
      <w:r w:rsidR="00825DD6">
        <w:t>s</w:t>
      </w:r>
    </w:p>
    <w:p w:rsidR="0056176A" w:rsidRDefault="00117425" w:rsidP="00B36643">
      <w:pPr>
        <w:pStyle w:val="Bibliography"/>
        <w:spacing w:line="480" w:lineRule="auto"/>
        <w:ind w:left="720" w:hanging="720"/>
        <w:rPr>
          <w:noProof/>
        </w:rPr>
      </w:pPr>
      <w:r>
        <w:fldChar w:fldCharType="begin"/>
      </w:r>
      <w:r w:rsidR="0056176A">
        <w:instrText xml:space="preserve"> BIBLIOGRAPHY  \l 1033 </w:instrText>
      </w:r>
      <w:r>
        <w:fldChar w:fldCharType="separate"/>
      </w:r>
      <w:r w:rsidR="0056176A">
        <w:rPr>
          <w:noProof/>
        </w:rPr>
        <w:t>Williamson Oil Company INC. V. Philip Morris, USA, 02-14037 (United States Court of Appeals, Eleventh Circuit September 22, 2003).</w:t>
      </w:r>
    </w:p>
    <w:p w:rsidR="0056176A" w:rsidRDefault="0056176A" w:rsidP="00B36643">
      <w:pPr>
        <w:pStyle w:val="Bibliography"/>
        <w:spacing w:line="480" w:lineRule="auto"/>
        <w:ind w:left="720" w:hanging="720"/>
        <w:rPr>
          <w:noProof/>
        </w:rPr>
      </w:pPr>
      <w:r>
        <w:rPr>
          <w:noProof/>
        </w:rPr>
        <w:t xml:space="preserve">Wilmer. (2003). The Summary Judgment Standard and Pleading Requirements for Conspiracy Claims Relying on the Doctrine of Conscious Parallelism. </w:t>
      </w:r>
      <w:r>
        <w:rPr>
          <w:i/>
          <w:iCs/>
          <w:noProof/>
        </w:rPr>
        <w:t>WILMER, CUTLER &amp; PICKERING</w:t>
      </w:r>
      <w:r>
        <w:rPr>
          <w:noProof/>
        </w:rPr>
        <w:t xml:space="preserve"> , 1-4.</w:t>
      </w:r>
    </w:p>
    <w:p w:rsidR="0056176A" w:rsidRDefault="00117425" w:rsidP="00B36643">
      <w:pPr>
        <w:spacing w:line="480" w:lineRule="auto"/>
        <w:ind w:left="720" w:hanging="720"/>
      </w:pPr>
      <w:r>
        <w:fldChar w:fldCharType="end"/>
      </w:r>
    </w:p>
    <w:sectPr w:rsidR="0056176A" w:rsidSect="005617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0A0C" w:rsidRDefault="00620A0C" w:rsidP="0056176A">
      <w:pPr>
        <w:spacing w:after="0" w:line="240" w:lineRule="auto"/>
      </w:pPr>
      <w:r>
        <w:separator/>
      </w:r>
    </w:p>
  </w:endnote>
  <w:endnote w:type="continuationSeparator" w:id="1">
    <w:p w:rsidR="00620A0C" w:rsidRDefault="00620A0C" w:rsidP="00561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0A0C" w:rsidRDefault="00620A0C" w:rsidP="0056176A">
      <w:pPr>
        <w:spacing w:after="0" w:line="240" w:lineRule="auto"/>
      </w:pPr>
      <w:r>
        <w:separator/>
      </w:r>
    </w:p>
  </w:footnote>
  <w:footnote w:type="continuationSeparator" w:id="1">
    <w:p w:rsidR="00620A0C" w:rsidRDefault="00620A0C" w:rsidP="00561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072969"/>
      <w:docPartObj>
        <w:docPartGallery w:val="Page Numbers (Top of Page)"/>
        <w:docPartUnique/>
      </w:docPartObj>
    </w:sdtPr>
    <w:sdtContent>
      <w:p w:rsidR="0056176A" w:rsidRDefault="0056176A">
        <w:pPr>
          <w:pStyle w:val="Header"/>
          <w:jc w:val="right"/>
        </w:pPr>
        <w:r>
          <w:t xml:space="preserve">WILLIAMSON OIL COMPANY INC. V. PHILIP MORRIS, USA                                             </w:t>
        </w:r>
        <w:fldSimple w:instr=" PAGE   \* MERGEFORMAT ">
          <w:r w:rsidR="00825DD6">
            <w:rPr>
              <w:noProof/>
            </w:rPr>
            <w:t>3</w:t>
          </w:r>
        </w:fldSimple>
      </w:p>
    </w:sdtContent>
  </w:sdt>
  <w:p w:rsidR="0056176A" w:rsidRDefault="005617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6A" w:rsidRDefault="0056176A">
    <w:pPr>
      <w:pStyle w:val="Header"/>
      <w:jc w:val="right"/>
    </w:pPr>
    <w:r>
      <w:t xml:space="preserve">Running head: WILLIAMSON OIL COMPANY INC. V. PHILIP MORRIS, USA                     </w:t>
    </w:r>
    <w:sdt>
      <w:sdtPr>
        <w:id w:val="356072970"/>
        <w:docPartObj>
          <w:docPartGallery w:val="Page Numbers (Top of Page)"/>
          <w:docPartUnique/>
        </w:docPartObj>
      </w:sdtPr>
      <w:sdtContent>
        <w:fldSimple w:instr=" PAGE   \* MERGEFORMAT ">
          <w:r w:rsidR="00825DD6">
            <w:rPr>
              <w:noProof/>
            </w:rPr>
            <w:t>1</w:t>
          </w:r>
        </w:fldSimple>
      </w:sdtContent>
    </w:sdt>
  </w:p>
  <w:p w:rsidR="0056176A" w:rsidRDefault="005617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F7368"/>
    <w:rsid w:val="00007695"/>
    <w:rsid w:val="00094A29"/>
    <w:rsid w:val="000D6C8E"/>
    <w:rsid w:val="00117425"/>
    <w:rsid w:val="002F1453"/>
    <w:rsid w:val="002F3526"/>
    <w:rsid w:val="00376408"/>
    <w:rsid w:val="0056176A"/>
    <w:rsid w:val="005D5D14"/>
    <w:rsid w:val="00620A0C"/>
    <w:rsid w:val="006A3BA2"/>
    <w:rsid w:val="006C3F66"/>
    <w:rsid w:val="00825DD6"/>
    <w:rsid w:val="00A10479"/>
    <w:rsid w:val="00A41DD7"/>
    <w:rsid w:val="00A714C9"/>
    <w:rsid w:val="00B36643"/>
    <w:rsid w:val="00C71466"/>
    <w:rsid w:val="00C75D2B"/>
    <w:rsid w:val="00D30509"/>
    <w:rsid w:val="00DB3360"/>
    <w:rsid w:val="00DB65A0"/>
    <w:rsid w:val="00E747F6"/>
    <w:rsid w:val="00E7546B"/>
    <w:rsid w:val="00F47F53"/>
    <w:rsid w:val="00F80C3E"/>
    <w:rsid w:val="00FF73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6176A"/>
  </w:style>
  <w:style w:type="paragraph" w:styleId="Header">
    <w:name w:val="header"/>
    <w:basedOn w:val="Normal"/>
    <w:link w:val="HeaderChar"/>
    <w:uiPriority w:val="99"/>
    <w:unhideWhenUsed/>
    <w:rsid w:val="00561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76A"/>
  </w:style>
  <w:style w:type="paragraph" w:styleId="Footer">
    <w:name w:val="footer"/>
    <w:basedOn w:val="Normal"/>
    <w:link w:val="FooterChar"/>
    <w:uiPriority w:val="99"/>
    <w:semiHidden/>
    <w:unhideWhenUsed/>
    <w:rsid w:val="005617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176A"/>
  </w:style>
  <w:style w:type="paragraph" w:styleId="BalloonText">
    <w:name w:val="Balloon Text"/>
    <w:basedOn w:val="Normal"/>
    <w:link w:val="BalloonTextChar"/>
    <w:uiPriority w:val="99"/>
    <w:semiHidden/>
    <w:unhideWhenUsed/>
    <w:rsid w:val="00561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7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Wil03</b:Tag>
    <b:SourceType>Case</b:SourceType>
    <b:Guid>{17D0EDEE-13A6-4D6D-9F7C-CF871071782C}</b:Guid>
    <b:LCID>0</b:LCID>
    <b:Title>Williamson Oil Company INC. V. Philip Morris, USA</b:Title>
    <b:Year>2003</b:Year>
    <b:CaseNumber>02-14037</b:CaseNumber>
    <b:Court>United States Court of Appeals, Eleventh Circuit</b:Court>
    <b:Month>September</b:Month>
    <b:Day>22</b:Day>
    <b:RefOrder>1</b:RefOrder>
  </b:Source>
  <b:Source>
    <b:Tag>Wil031</b:Tag>
    <b:SourceType>JournalArticle</b:SourceType>
    <b:Guid>{7E23F117-03E7-4865-8E21-E9A9E1F09E2C}</b:Guid>
    <b:LCID>0</b:LCID>
    <b:Title>The Summary Judgment Standard and Pleading Requirements for Conspiracy Claims Relying on the Doctrine of Conscious Parallelism</b:Title>
    <b:Year>2003</b:Year>
    <b:Author>
      <b:Author>
        <b:NameList>
          <b:Person>
            <b:Last>Wilmer</b:Last>
          </b:Person>
        </b:NameList>
      </b:Author>
    </b:Author>
    <b:JournalName>WILMER, CUTLER &amp; PICKERING</b:JournalName>
    <b:Pages>1-4</b:Pages>
    <b:RefOrder>2</b:RefOrder>
  </b:Source>
</b:Sources>
</file>

<file path=customXml/itemProps1.xml><?xml version="1.0" encoding="utf-8"?>
<ds:datastoreItem xmlns:ds="http://schemas.openxmlformats.org/officeDocument/2006/customXml" ds:itemID="{D7B972BB-1C9A-4058-A58D-0EBB08AA8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2019-08-18T22:35:00Z</dcterms:created>
  <dcterms:modified xsi:type="dcterms:W3CDTF">2019-08-18T22:35:00Z</dcterms:modified>
</cp:coreProperties>
</file>